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6A03" w14:textId="2562A2B2" w:rsidR="0001052E" w:rsidRDefault="0001052E">
      <w:pPr>
        <w:rPr>
          <w:b/>
          <w:bCs/>
        </w:rPr>
      </w:pPr>
      <w:r w:rsidRPr="00F90D5C">
        <w:rPr>
          <w:b/>
          <w:bCs/>
        </w:rPr>
        <w:t>Rappel du contexte :</w:t>
      </w:r>
    </w:p>
    <w:p w14:paraId="3B65A054" w14:textId="77777777" w:rsidR="000E4781" w:rsidRPr="00F90D5C" w:rsidRDefault="000E4781">
      <w:pPr>
        <w:rPr>
          <w:b/>
          <w:bCs/>
        </w:rPr>
      </w:pPr>
    </w:p>
    <w:p w14:paraId="4958C018" w14:textId="4C28F1CA" w:rsidR="0001052E" w:rsidRDefault="0001052E" w:rsidP="000E4781">
      <w:pPr>
        <w:jc w:val="both"/>
      </w:pPr>
      <w:r>
        <w:t xml:space="preserve">L’ICMG a ouvert en </w:t>
      </w:r>
      <w:r w:rsidR="00E66C61">
        <w:t xml:space="preserve">2018 </w:t>
      </w:r>
      <w:r>
        <w:t>un service de HRMS</w:t>
      </w:r>
      <w:r w:rsidR="00E66C61">
        <w:t xml:space="preserve"> à la suite d’une entente entre l’IPAG et notre institut partant du constat suivant : l’IPAG avait un </w:t>
      </w:r>
      <w:r w:rsidR="00E06F09">
        <w:t xml:space="preserve">LTQ </w:t>
      </w:r>
      <w:proofErr w:type="spellStart"/>
      <w:r w:rsidR="00E66C61">
        <w:t>orbitrap</w:t>
      </w:r>
      <w:proofErr w:type="spellEnd"/>
      <w:r w:rsidR="00E66C61">
        <w:t xml:space="preserve"> (acquisition 2006) qui n’était pas utilisé à 100% du temps et permettant de par ses caractéristiques d’accéder à des spectres de masse en haute résolution. Il a été convenu entre les deux entités de mettre en place une convention d’utilisation pour que le personnel d</w:t>
      </w:r>
      <w:r w:rsidR="00E06F09">
        <w:t xml:space="preserve">e la plateforme de l’ICMG </w:t>
      </w:r>
      <w:r w:rsidR="00E66C61">
        <w:t>puisse réaliser des</w:t>
      </w:r>
      <w:r w:rsidR="00E06F09">
        <w:t xml:space="preserve"> analyses</w:t>
      </w:r>
      <w:r w:rsidR="00E66C61">
        <w:t xml:space="preserve"> HRMS à raison d’une demi-journée par semaine. Force a été de constater que cet appareil datant de presque 20 ans (et donc plus </w:t>
      </w:r>
      <w:r w:rsidR="000E4781">
        <w:t>soutenu</w:t>
      </w:r>
      <w:r w:rsidR="00E66C61">
        <w:t xml:space="preserve"> par </w:t>
      </w:r>
      <w:r w:rsidR="000E4781">
        <w:t xml:space="preserve">le </w:t>
      </w:r>
      <w:r w:rsidR="00E66C61">
        <w:t>Thermo</w:t>
      </w:r>
      <w:r w:rsidR="000E4781">
        <w:t xml:space="preserve"> Scientific</w:t>
      </w:r>
      <w:r w:rsidR="00E66C61">
        <w:t>) commençait à montrer des signes de fragilité occasionnant de nombreuses pannes. Constatant</w:t>
      </w:r>
      <w:r w:rsidR="00BF2E4A">
        <w:t xml:space="preserve"> aussi</w:t>
      </w:r>
      <w:r w:rsidR="00E66C61">
        <w:t xml:space="preserve"> l’augmentation des demandes HRMS, une réflexion a été amorcée en 2024 pour assurer dans un premier temps la pérennisation du service HRMS. </w:t>
      </w:r>
      <w:r w:rsidR="00BF2E4A">
        <w:t xml:space="preserve">Dans </w:t>
      </w:r>
      <w:r w:rsidR="00E34B10">
        <w:t>le souci</w:t>
      </w:r>
      <w:r w:rsidR="00BF2E4A">
        <w:t xml:space="preserve"> de rendre un service au plus grand nombre des chercheurs relevant du périmètre de l’institut, la plateforme de masse </w:t>
      </w:r>
      <w:r w:rsidR="000E4781">
        <w:t xml:space="preserve">peut également répondre à </w:t>
      </w:r>
      <w:r w:rsidR="00BF2E4A">
        <w:t>des besoins analytiques dans les domaines de la métabolomique et de l’analyse de biomol</w:t>
      </w:r>
      <w:r w:rsidR="009828C6">
        <w:t>é</w:t>
      </w:r>
      <w:r w:rsidR="00BF2E4A">
        <w:t xml:space="preserve">cules (protéines, acides </w:t>
      </w:r>
      <w:r w:rsidR="000A6FA4">
        <w:t>nucléiques,</w:t>
      </w:r>
      <w:r w:rsidR="00BF2E4A">
        <w:t xml:space="preserve">). Puis dans </w:t>
      </w:r>
      <w:r w:rsidR="000A6FA4">
        <w:t>le souci</w:t>
      </w:r>
      <w:r w:rsidR="00BF2E4A">
        <w:t xml:space="preserve"> d’une mutualisation des moyens </w:t>
      </w:r>
      <w:r w:rsidR="000A6FA4">
        <w:t>la plus large possible</w:t>
      </w:r>
      <w:r w:rsidR="00BF2E4A">
        <w:t xml:space="preserve"> dans le périmètre du campus, l’ICMG a proposé à l’IPAG </w:t>
      </w:r>
      <w:r w:rsidR="000A6FA4">
        <w:t>de participer à l’élaboration du cahier des ch</w:t>
      </w:r>
      <w:r w:rsidR="000007A3">
        <w:t>a</w:t>
      </w:r>
      <w:r w:rsidR="000A6FA4">
        <w:t>rges</w:t>
      </w:r>
      <w:r w:rsidR="000007A3">
        <w:t xml:space="preserve"> </w:t>
      </w:r>
      <w:r w:rsidR="00BF2E4A">
        <w:t xml:space="preserve">pour aboutir à l’achat d’un spectromètre qui réponde à l’ensemble des besoins exprimés au cours de cette réflexion commune. Le choix s’est porté sur un </w:t>
      </w:r>
      <w:proofErr w:type="spellStart"/>
      <w:r w:rsidR="00B4700B">
        <w:t>O</w:t>
      </w:r>
      <w:r w:rsidR="00BF2E4A">
        <w:t>rbitrap</w:t>
      </w:r>
      <w:proofErr w:type="spellEnd"/>
      <w:r w:rsidR="00BF2E4A">
        <w:t xml:space="preserve"> plus récent.</w:t>
      </w:r>
    </w:p>
    <w:p w14:paraId="6CCE2BBD" w14:textId="77777777" w:rsidR="00BF2E4A" w:rsidRDefault="00BF2E4A" w:rsidP="000E4781">
      <w:pPr>
        <w:jc w:val="both"/>
      </w:pPr>
    </w:p>
    <w:p w14:paraId="3C70D564" w14:textId="77777777" w:rsidR="00BF2E4A" w:rsidRPr="000A6FA4" w:rsidRDefault="00BF2E4A" w:rsidP="000E4781">
      <w:pPr>
        <w:jc w:val="both"/>
        <w:rPr>
          <w:b/>
          <w:bCs/>
        </w:rPr>
      </w:pPr>
      <w:r w:rsidRPr="000A6FA4">
        <w:rPr>
          <w:b/>
          <w:bCs/>
        </w:rPr>
        <w:t>Choix de l’instrument</w:t>
      </w:r>
      <w:r w:rsidR="009828C6" w:rsidRPr="000A6FA4">
        <w:rPr>
          <w:b/>
          <w:bCs/>
        </w:rPr>
        <w:t> :</w:t>
      </w:r>
    </w:p>
    <w:p w14:paraId="4FB72E2D" w14:textId="18C0FC62" w:rsidR="009828C6" w:rsidRDefault="009828C6" w:rsidP="000E4781">
      <w:pPr>
        <w:jc w:val="both"/>
      </w:pPr>
      <w:r>
        <w:t xml:space="preserve">Devant la raréfaction des moyens et l’évolution de la réutilisation des parcs instrumentaux qui font l’objet de la mise en place grandissante d’une offre d’instruments reconditionnés de haute qualité, décision a été prise de faire l’acquisition d’un </w:t>
      </w:r>
      <w:proofErr w:type="spellStart"/>
      <w:r w:rsidR="00B4700B">
        <w:t>O</w:t>
      </w:r>
      <w:r>
        <w:t>rbitrap</w:t>
      </w:r>
      <w:proofErr w:type="spellEnd"/>
      <w:r>
        <w:t xml:space="preserve"> de seconde main, accessible à un prix qui reste raisonnable dans le cadre d’un appel à projet. La société Thermo </w:t>
      </w:r>
      <w:r w:rsidR="000A6FA4">
        <w:t xml:space="preserve">Scientific </w:t>
      </w:r>
      <w:r>
        <w:t xml:space="preserve">commercialise la gamme </w:t>
      </w:r>
      <w:proofErr w:type="spellStart"/>
      <w:r w:rsidR="00B4700B">
        <w:t>O</w:t>
      </w:r>
      <w:r>
        <w:t>rbitrap</w:t>
      </w:r>
      <w:proofErr w:type="spellEnd"/>
      <w:r>
        <w:t xml:space="preserve"> depuis des années en sortant régulièrement des versions qui suivent l’évolution des besoins. En particulier, cette société continue de commercialis</w:t>
      </w:r>
      <w:r w:rsidR="002C2F1B">
        <w:t>er des instruments dans la série Q-</w:t>
      </w:r>
      <w:proofErr w:type="spellStart"/>
      <w:r w:rsidR="002C2F1B">
        <w:t>exa</w:t>
      </w:r>
      <w:r w:rsidR="005E1756">
        <w:t>c</w:t>
      </w:r>
      <w:r w:rsidR="002C2F1B">
        <w:t>tive</w:t>
      </w:r>
      <w:proofErr w:type="spellEnd"/>
      <w:r w:rsidR="002C2F1B">
        <w:t xml:space="preserve">, une gamme d’instruments très robustes. Les </w:t>
      </w:r>
      <w:r w:rsidR="00FE539D">
        <w:t>spécificités minimales</w:t>
      </w:r>
      <w:r w:rsidR="002C2F1B">
        <w:t xml:space="preserve"> retenues pour répondre aux besoins de l’ICMG et de l’IPAG sont les suivantes :</w:t>
      </w:r>
    </w:p>
    <w:p w14:paraId="41734DD0" w14:textId="3BAACAB7" w:rsidR="002C2F1B" w:rsidRDefault="005E1756" w:rsidP="000E4781">
      <w:pPr>
        <w:pStyle w:val="Paragraphedeliste"/>
        <w:numPr>
          <w:ilvl w:val="0"/>
          <w:numId w:val="2"/>
        </w:numPr>
        <w:jc w:val="both"/>
      </w:pPr>
      <w:r>
        <w:t>Gamme</w:t>
      </w:r>
      <w:r w:rsidR="002C2F1B">
        <w:t xml:space="preserve"> de masse 50 à 6000</w:t>
      </w:r>
    </w:p>
    <w:p w14:paraId="7F7CF9C1" w14:textId="5C7E8E97" w:rsidR="002C2F1B" w:rsidRDefault="005E1756" w:rsidP="000E4781">
      <w:pPr>
        <w:pStyle w:val="Paragraphedeliste"/>
        <w:numPr>
          <w:ilvl w:val="0"/>
          <w:numId w:val="2"/>
        </w:numPr>
        <w:jc w:val="both"/>
      </w:pPr>
      <w:r>
        <w:t>Résolution</w:t>
      </w:r>
      <w:r w:rsidR="002C2F1B">
        <w:t xml:space="preserve"> à 140 000 pour m/z  200 </w:t>
      </w:r>
    </w:p>
    <w:p w14:paraId="78864F1B" w14:textId="3CAFA304" w:rsidR="002C2F1B" w:rsidRDefault="002C2F1B" w:rsidP="000E4781">
      <w:pPr>
        <w:pStyle w:val="Paragraphedeliste"/>
        <w:numPr>
          <w:ilvl w:val="0"/>
          <w:numId w:val="2"/>
        </w:numPr>
        <w:jc w:val="both"/>
      </w:pPr>
      <w:r>
        <w:t xml:space="preserve">Mass </w:t>
      </w:r>
      <w:proofErr w:type="spellStart"/>
      <w:r>
        <w:t>accuracy</w:t>
      </w:r>
      <w:proofErr w:type="spellEnd"/>
      <w:r>
        <w:t xml:space="preserve"> </w:t>
      </w:r>
      <w:r w:rsidR="005E1756">
        <w:t>inférieure</w:t>
      </w:r>
      <w:r>
        <w:t xml:space="preserve"> à 3 ppm (largement suffisant pour la HRMS)</w:t>
      </w:r>
    </w:p>
    <w:p w14:paraId="5395B186" w14:textId="77777777" w:rsidR="002C2F1B" w:rsidRDefault="002C2F1B" w:rsidP="000E4781">
      <w:pPr>
        <w:pStyle w:val="Paragraphedeliste"/>
        <w:numPr>
          <w:ilvl w:val="0"/>
          <w:numId w:val="2"/>
        </w:numPr>
        <w:jc w:val="both"/>
      </w:pPr>
      <w:r>
        <w:t>MS/MS possible</w:t>
      </w:r>
    </w:p>
    <w:p w14:paraId="30C83F1E" w14:textId="77777777" w:rsidR="002C2F1B" w:rsidRDefault="002C2F1B" w:rsidP="000E4781">
      <w:pPr>
        <w:pStyle w:val="Paragraphedeliste"/>
        <w:numPr>
          <w:ilvl w:val="0"/>
          <w:numId w:val="2"/>
        </w:numPr>
        <w:jc w:val="both"/>
      </w:pPr>
      <w:r>
        <w:t>Sources disponibles : ESI, APCI</w:t>
      </w:r>
    </w:p>
    <w:p w14:paraId="0D2A28C9" w14:textId="77777777" w:rsidR="002C2F1B" w:rsidRDefault="002C2F1B" w:rsidP="000E4781">
      <w:pPr>
        <w:pStyle w:val="Paragraphedeliste"/>
        <w:numPr>
          <w:ilvl w:val="0"/>
          <w:numId w:val="2"/>
        </w:numPr>
        <w:jc w:val="both"/>
      </w:pPr>
      <w:r>
        <w:t xml:space="preserve">Couplage </w:t>
      </w:r>
      <w:r w:rsidR="00C15D10">
        <w:t>UHP</w:t>
      </w:r>
      <w:r>
        <w:t>LC/MS</w:t>
      </w:r>
    </w:p>
    <w:p w14:paraId="256B540E" w14:textId="77777777" w:rsidR="002C2F1B" w:rsidRDefault="002C2F1B" w:rsidP="000E4781">
      <w:pPr>
        <w:jc w:val="both"/>
      </w:pPr>
    </w:p>
    <w:p w14:paraId="218456EF" w14:textId="7AF7B685" w:rsidR="002C2F1B" w:rsidRDefault="000007A3" w:rsidP="000E4781">
      <w:pPr>
        <w:jc w:val="both"/>
      </w:pPr>
      <w:r>
        <w:t xml:space="preserve">L’IPAG </w:t>
      </w:r>
      <w:r w:rsidR="002C2F1B">
        <w:t xml:space="preserve">possédant une </w:t>
      </w:r>
      <w:r w:rsidR="00C15D10">
        <w:t>UH</w:t>
      </w:r>
      <w:r w:rsidR="002C2F1B">
        <w:t>PLC 3000 a proposé de nous céder ce matériel dans le cadre de cette acquisition</w:t>
      </w:r>
      <w:r>
        <w:t xml:space="preserve"> nous permettant ainsi de disposer d’une chaine analytique complète LC-HRMS.</w:t>
      </w:r>
    </w:p>
    <w:p w14:paraId="1BB9EFCD" w14:textId="7AA48E8A" w:rsidR="00FE539D" w:rsidRDefault="00FE539D" w:rsidP="000E4781">
      <w:pPr>
        <w:jc w:val="both"/>
      </w:pPr>
      <w:r>
        <w:t>A la suite des réponses</w:t>
      </w:r>
      <w:r w:rsidR="008F0BA2">
        <w:t xml:space="preserve"> de différentes entreprises dans le cadre du marché public lancé pour cette acquisition</w:t>
      </w:r>
      <w:r>
        <w:t xml:space="preserve">, le choix s’est porté sur un </w:t>
      </w:r>
      <w:r w:rsidRPr="005E1756">
        <w:rPr>
          <w:b/>
          <w:bCs/>
        </w:rPr>
        <w:t>Q-</w:t>
      </w:r>
      <w:proofErr w:type="spellStart"/>
      <w:r w:rsidRPr="005E1756">
        <w:rPr>
          <w:b/>
          <w:bCs/>
        </w:rPr>
        <w:t>exactive</w:t>
      </w:r>
      <w:proofErr w:type="spellEnd"/>
      <w:r w:rsidRPr="005E1756">
        <w:rPr>
          <w:b/>
          <w:bCs/>
        </w:rPr>
        <w:t xml:space="preserve"> </w:t>
      </w:r>
      <w:r w:rsidR="005E1756" w:rsidRPr="005E1756">
        <w:rPr>
          <w:b/>
          <w:bCs/>
        </w:rPr>
        <w:t>P</w:t>
      </w:r>
      <w:r w:rsidRPr="005E1756">
        <w:rPr>
          <w:b/>
          <w:bCs/>
        </w:rPr>
        <w:t>lus</w:t>
      </w:r>
      <w:r>
        <w:t xml:space="preserve"> proposé par la société MS VISION pour un somme globale </w:t>
      </w:r>
      <w:r w:rsidR="005E1756">
        <w:t>inférieure à 200</w:t>
      </w:r>
      <w:r w:rsidR="008F0BA2">
        <w:t xml:space="preserve"> </w:t>
      </w:r>
      <w:r w:rsidR="005E1756">
        <w:t>000</w:t>
      </w:r>
      <w:r>
        <w:t xml:space="preserve"> euros comprenant 2 ans de garantie</w:t>
      </w:r>
      <w:r w:rsidR="00B956B3">
        <w:t xml:space="preserve"> </w:t>
      </w:r>
      <w:r w:rsidR="00B60E4E">
        <w:t>(SAV également assuré par cette société)</w:t>
      </w:r>
      <w:r>
        <w:t>.</w:t>
      </w:r>
      <w:r w:rsidR="00507603">
        <w:t xml:space="preserve"> </w:t>
      </w:r>
      <w:r w:rsidR="00B60E4E" w:rsidRPr="00B60E4E">
        <w:t>Un autre aspect important à prendre en compte lors de l’achat d’un appareil de seconde main est la disponibilité des pièces détachées. Dans le cas de la série Q-</w:t>
      </w:r>
      <w:proofErr w:type="spellStart"/>
      <w:r w:rsidR="00B60E4E" w:rsidRPr="00B60E4E">
        <w:t>Exactive</w:t>
      </w:r>
      <w:proofErr w:type="spellEnd"/>
      <w:r w:rsidR="00B60E4E" w:rsidRPr="00B60E4E">
        <w:t>, toujours commercialisée par Thermo, cet aspect ne pose actuellement aucun problème. En effet, la politique du fabricant garantit la disponibilité des pièces détachées pendant une période de sept ans après l’arrêt de la commercialisation</w:t>
      </w:r>
      <w:r w:rsidR="00B60E4E">
        <w:t>.</w:t>
      </w:r>
    </w:p>
    <w:p w14:paraId="3C4F0539" w14:textId="77777777" w:rsidR="00B60E4E" w:rsidRDefault="00B60E4E" w:rsidP="000E4781">
      <w:pPr>
        <w:jc w:val="both"/>
      </w:pPr>
    </w:p>
    <w:p w14:paraId="4731465E" w14:textId="77777777" w:rsidR="00FE539D" w:rsidRDefault="00FE539D" w:rsidP="000E4781">
      <w:pPr>
        <w:jc w:val="both"/>
      </w:pPr>
      <w:r>
        <w:t>Financement :</w:t>
      </w:r>
    </w:p>
    <w:p w14:paraId="48655525" w14:textId="4686D6CC" w:rsidR="00FE539D" w:rsidRDefault="00FE539D" w:rsidP="000E4781">
      <w:pPr>
        <w:jc w:val="both"/>
      </w:pPr>
      <w:r>
        <w:t>Cet instrument</w:t>
      </w:r>
      <w:r w:rsidR="00C15D10">
        <w:t xml:space="preserve"> a fait l’objet d’un financement CNRS/UGA/</w:t>
      </w:r>
      <w:r w:rsidR="00B4700B">
        <w:t>fonds propres de l’</w:t>
      </w:r>
      <w:r w:rsidR="00C15D10">
        <w:t>ICMG</w:t>
      </w:r>
      <w:r w:rsidR="005E1756">
        <w:t>)</w:t>
      </w:r>
    </w:p>
    <w:p w14:paraId="728053D7" w14:textId="77777777" w:rsidR="002C2F1B" w:rsidRDefault="002C2F1B" w:rsidP="000E4781">
      <w:pPr>
        <w:jc w:val="both"/>
      </w:pPr>
    </w:p>
    <w:p w14:paraId="0469F766" w14:textId="3DEB289A" w:rsidR="0094720A" w:rsidRPr="00B4700B" w:rsidRDefault="0094720A" w:rsidP="00B4700B">
      <w:pPr>
        <w:jc w:val="center"/>
        <w:rPr>
          <w:b/>
          <w:bCs/>
        </w:rPr>
      </w:pPr>
      <w:r w:rsidRPr="00B4700B">
        <w:rPr>
          <w:b/>
          <w:bCs/>
          <w:color w:val="FF0000"/>
          <w:sz w:val="28"/>
          <w:szCs w:val="28"/>
        </w:rPr>
        <w:t>Pensez</w:t>
      </w:r>
      <w:r w:rsidR="00CB492C" w:rsidRPr="00B4700B">
        <w:rPr>
          <w:b/>
          <w:bCs/>
          <w:color w:val="FF0000"/>
          <w:sz w:val="28"/>
          <w:szCs w:val="28"/>
        </w:rPr>
        <w:t>,</w:t>
      </w:r>
      <w:r w:rsidRPr="00B4700B">
        <w:rPr>
          <w:b/>
          <w:bCs/>
          <w:color w:val="FF0000"/>
          <w:sz w:val="28"/>
          <w:szCs w:val="28"/>
        </w:rPr>
        <w:t xml:space="preserve"> dans vos publications</w:t>
      </w:r>
      <w:r w:rsidR="00CB492C" w:rsidRPr="00B4700B">
        <w:rPr>
          <w:b/>
          <w:bCs/>
          <w:color w:val="FF0000"/>
          <w:sz w:val="28"/>
          <w:szCs w:val="28"/>
        </w:rPr>
        <w:t>,</w:t>
      </w:r>
      <w:r w:rsidRPr="00B4700B">
        <w:rPr>
          <w:b/>
          <w:bCs/>
          <w:color w:val="FF0000"/>
          <w:sz w:val="28"/>
          <w:szCs w:val="28"/>
        </w:rPr>
        <w:t xml:space="preserve"> à citer ce nouvel appareil pour vos analyse</w:t>
      </w:r>
      <w:r w:rsidR="00B4700B" w:rsidRPr="00B4700B">
        <w:rPr>
          <w:b/>
          <w:bCs/>
          <w:color w:val="FF0000"/>
          <w:sz w:val="28"/>
          <w:szCs w:val="28"/>
        </w:rPr>
        <w:t>s</w:t>
      </w:r>
      <w:r w:rsidRPr="00B4700B">
        <w:rPr>
          <w:b/>
          <w:bCs/>
          <w:color w:val="FF0000"/>
          <w:sz w:val="28"/>
          <w:szCs w:val="28"/>
        </w:rPr>
        <w:t xml:space="preserve"> HRMS</w:t>
      </w:r>
      <w:r w:rsidR="00734F62" w:rsidRPr="00B4700B">
        <w:rPr>
          <w:b/>
          <w:bCs/>
          <w:color w:val="FF0000"/>
          <w:sz w:val="28"/>
          <w:szCs w:val="28"/>
        </w:rPr>
        <w:t xml:space="preserve"> réalisées à partir de fin février 2025</w:t>
      </w:r>
      <w:r w:rsidRPr="00B4700B">
        <w:rPr>
          <w:b/>
          <w:bCs/>
        </w:rPr>
        <w:t>.</w:t>
      </w:r>
    </w:p>
    <w:sectPr w:rsidR="0094720A" w:rsidRPr="00B47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709"/>
    <w:multiLevelType w:val="hybridMultilevel"/>
    <w:tmpl w:val="F42AACB8"/>
    <w:lvl w:ilvl="0" w:tplc="6CD467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801DD3"/>
    <w:multiLevelType w:val="hybridMultilevel"/>
    <w:tmpl w:val="82627316"/>
    <w:lvl w:ilvl="0" w:tplc="E25A52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BB056D"/>
    <w:multiLevelType w:val="hybridMultilevel"/>
    <w:tmpl w:val="A05C66A6"/>
    <w:lvl w:ilvl="0" w:tplc="E25A52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6071077">
    <w:abstractNumId w:val="0"/>
  </w:num>
  <w:num w:numId="2" w16cid:durableId="222257434">
    <w:abstractNumId w:val="1"/>
  </w:num>
  <w:num w:numId="3" w16cid:durableId="484048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2E"/>
    <w:rsid w:val="000007A3"/>
    <w:rsid w:val="0001052E"/>
    <w:rsid w:val="00021211"/>
    <w:rsid w:val="000A6FA4"/>
    <w:rsid w:val="000E4781"/>
    <w:rsid w:val="00102F68"/>
    <w:rsid w:val="002314D8"/>
    <w:rsid w:val="002C2F1B"/>
    <w:rsid w:val="0031176F"/>
    <w:rsid w:val="003160BA"/>
    <w:rsid w:val="00390794"/>
    <w:rsid w:val="00397899"/>
    <w:rsid w:val="003C7404"/>
    <w:rsid w:val="003F7D2F"/>
    <w:rsid w:val="00486FD5"/>
    <w:rsid w:val="00507603"/>
    <w:rsid w:val="005E1756"/>
    <w:rsid w:val="00706448"/>
    <w:rsid w:val="00734F62"/>
    <w:rsid w:val="0088783E"/>
    <w:rsid w:val="008F0BA2"/>
    <w:rsid w:val="0094720A"/>
    <w:rsid w:val="009828C6"/>
    <w:rsid w:val="00B43AB1"/>
    <w:rsid w:val="00B4700B"/>
    <w:rsid w:val="00B60E4E"/>
    <w:rsid w:val="00B956B3"/>
    <w:rsid w:val="00BD585D"/>
    <w:rsid w:val="00BF2E4A"/>
    <w:rsid w:val="00C15D10"/>
    <w:rsid w:val="00CB492C"/>
    <w:rsid w:val="00D63F42"/>
    <w:rsid w:val="00E06F09"/>
    <w:rsid w:val="00E34B10"/>
    <w:rsid w:val="00E66C61"/>
    <w:rsid w:val="00F90D5C"/>
    <w:rsid w:val="00FE5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6F93"/>
  <w15:chartTrackingRefBased/>
  <w15:docId w15:val="{38F76BE7-E8ED-3D4C-AD74-3CFE31EE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105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0105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1052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1052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01052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01052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052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052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052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052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01052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1052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01052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01052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0105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105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105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1052E"/>
    <w:rPr>
      <w:rFonts w:eastAsiaTheme="majorEastAsia" w:cstheme="majorBidi"/>
      <w:color w:val="272727" w:themeColor="text1" w:themeTint="D8"/>
    </w:rPr>
  </w:style>
  <w:style w:type="paragraph" w:styleId="Titre">
    <w:name w:val="Title"/>
    <w:basedOn w:val="Normal"/>
    <w:next w:val="Normal"/>
    <w:link w:val="TitreCar"/>
    <w:uiPriority w:val="10"/>
    <w:qFormat/>
    <w:rsid w:val="0001052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05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1052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05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1052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1052E"/>
    <w:rPr>
      <w:i/>
      <w:iCs/>
      <w:color w:val="404040" w:themeColor="text1" w:themeTint="BF"/>
    </w:rPr>
  </w:style>
  <w:style w:type="paragraph" w:styleId="Paragraphedeliste">
    <w:name w:val="List Paragraph"/>
    <w:basedOn w:val="Normal"/>
    <w:uiPriority w:val="34"/>
    <w:qFormat/>
    <w:rsid w:val="0001052E"/>
    <w:pPr>
      <w:ind w:left="720"/>
      <w:contextualSpacing/>
    </w:pPr>
  </w:style>
  <w:style w:type="character" w:styleId="Accentuationintense">
    <w:name w:val="Intense Emphasis"/>
    <w:basedOn w:val="Policepardfaut"/>
    <w:uiPriority w:val="21"/>
    <w:qFormat/>
    <w:rsid w:val="0001052E"/>
    <w:rPr>
      <w:i/>
      <w:iCs/>
      <w:color w:val="2F5496" w:themeColor="accent1" w:themeShade="BF"/>
    </w:rPr>
  </w:style>
  <w:style w:type="paragraph" w:styleId="Citationintense">
    <w:name w:val="Intense Quote"/>
    <w:basedOn w:val="Normal"/>
    <w:next w:val="Normal"/>
    <w:link w:val="CitationintenseCar"/>
    <w:uiPriority w:val="30"/>
    <w:qFormat/>
    <w:rsid w:val="00010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01052E"/>
    <w:rPr>
      <w:i/>
      <w:iCs/>
      <w:color w:val="2F5496" w:themeColor="accent1" w:themeShade="BF"/>
    </w:rPr>
  </w:style>
  <w:style w:type="character" w:styleId="Rfrenceintense">
    <w:name w:val="Intense Reference"/>
    <w:basedOn w:val="Policepardfaut"/>
    <w:uiPriority w:val="32"/>
    <w:qFormat/>
    <w:rsid w:val="00010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cp:lastModifiedBy>
  <cp:revision>3</cp:revision>
  <dcterms:created xsi:type="dcterms:W3CDTF">2025-09-02T08:51:00Z</dcterms:created>
  <dcterms:modified xsi:type="dcterms:W3CDTF">2025-09-02T08:51:00Z</dcterms:modified>
</cp:coreProperties>
</file>